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alibri" w:cs="Calibri" w:eastAsia="Calibri" w:hAnsi="Calibri"/>
          <w:b/>
          <w:bCs/>
          <w:color w:val="A8812B"/>
          <w:spacing w:val="36"/>
          <w:sz w:val="17"/>
          <w:szCs w:val="17"/>
        </w:rPr>
        <w:t xml:space="preserve">GOVERNANCE TEMPLATE</w:t>
      </w:r>
    </w:p>
    <w:p>
      <w:pPr>
        <w:spacing w:after="80"/>
      </w:pPr>
      <w:r>
        <w:rPr>
          <w:rFonts w:ascii="Calibri" w:cs="Calibri" w:eastAsia="Calibri" w:hAnsi="Calibri"/>
          <w:b/>
          <w:bCs/>
          <w:color w:val="0E1B2E"/>
          <w:sz w:val="40"/>
          <w:szCs w:val="40"/>
        </w:rPr>
        <w:t xml:space="preserve">Board of Directors — Terms of Reference</w:t>
      </w:r>
    </w:p>
    <w:p>
      <w:pPr>
        <w:spacing w:after="120" w:line="276"/>
      </w:pPr>
      <w:r>
        <w:rPr>
          <w:rFonts w:ascii="Calibri" w:cs="Calibri" w:eastAsia="Calibri" w:hAnsi="Calibri"/>
          <w:color w:val="222B36"/>
          <w:sz w:val="21"/>
          <w:szCs w:val="21"/>
        </w:rPr>
        <w:t xml:space="preserve">A ready-to-adapt template defining the purpose, authority, composition and working rules of a non-profit or NGO governing board. Replace the </w:t>
      </w:r>
      <w:r>
        <w:rPr>
          <w:rFonts w:ascii="Calibri" w:cs="Calibri" w:eastAsia="Calibri" w:hAnsi="Calibri"/>
          <w:i/>
          <w:iCs/>
          <w:color w:val="A8812B"/>
          <w:sz w:val="21"/>
          <w:szCs w:val="21"/>
        </w:rPr>
        <w:t xml:space="preserve">highlighted fields</w:t>
      </w:r>
      <w:r>
        <w:rPr>
          <w:rFonts w:ascii="Calibri" w:cs="Calibri" w:eastAsia="Calibri" w:hAnsi="Calibri"/>
          <w:color w:val="222B36"/>
          <w:sz w:val="21"/>
          <w:szCs w:val="21"/>
        </w:rPr>
        <w:t xml:space="preserve"> with your organisation’s details and delete any guidance you don’t need.</w:t>
      </w:r>
    </w:p>
    <w:tbl>
      <w:tblPr>
        <w:tblW w:type="pct" w:w="100%"/>
        <w:tblBorders>
          <w:top w:val="single" w:color="E4E2DA" w:sz="4"/>
          <w:left w:val="single" w:color="E4E2DA" w:sz="4"/>
          <w:bottom w:val="single" w:color="E4E2DA" w:sz="4"/>
          <w:right w:val="single" w:color="E4E2DA" w:sz="4"/>
          <w:insideH w:val="single" w:color="auto" w:sz="4"/>
          <w:insideV w:val="single" w:color="auto" w:sz="4"/>
        </w:tblBorders>
      </w:tblPr>
      <w:tblGrid>
        <w:gridCol w:w="100"/>
        <w:gridCol w:w="100"/>
      </w:tblGrid>
      <w:tr>
        <w:tc>
          <w:tcPr>
            <w:tcW w:type="pct" w:w="32%"/>
            <w:shd w:fill="FAF7F0" w:val="clear"/>
            <w:tcMar>
              <w:top w:type="dxa" w:w="80"/>
              <w:left w:type="dxa" w:w="120"/>
              <w:bottom w:type="dxa" w:w="80"/>
              <w:right w:type="dxa" w:w="120"/>
            </w:tcMar>
          </w:tcPr>
          <w:p>
            <w:r>
              <w:rPr>
                <w:rFonts w:ascii="Calibri" w:cs="Calibri" w:eastAsia="Calibri" w:hAnsi="Calibri"/>
                <w:b/>
                <w:bCs/>
                <w:color w:val="0E1B2E"/>
                <w:sz w:val="20"/>
                <w:szCs w:val="20"/>
              </w:rPr>
              <w:t xml:space="preserve">Organisation</w:t>
            </w:r>
          </w:p>
        </w:tc>
        <w:tc>
          <w:tcPr>
            <w:tcW w:type="pct" w:w="68%"/>
            <w:tcMar>
              <w:top w:type="dxa" w:w="80"/>
              <w:left w:type="dxa" w:w="120"/>
              <w:bottom w:type="dxa" w:w="80"/>
              <w:right w:type="dxa" w:w="120"/>
            </w:tcMar>
          </w:tcPr>
          <w:p>
            <w:r>
              <w:rPr>
                <w:rFonts w:ascii="Calibri" w:cs="Calibri" w:eastAsia="Calibri" w:hAnsi="Calibri"/>
                <w:i/>
                <w:iCs/>
                <w:color w:val="A8812B"/>
                <w:sz w:val="21"/>
                <w:szCs w:val="21"/>
              </w:rPr>
              <w:t xml:space="preserve">[Legal name of the organisation]</w:t>
            </w:r>
          </w:p>
        </w:tc>
      </w:tr>
      <w:tr>
        <w:tc>
          <w:tcPr>
            <w:tcW w:type="pct" w:w="32%"/>
            <w:shd w:fill="FAF7F0" w:val="clear"/>
            <w:tcMar>
              <w:top w:type="dxa" w:w="80"/>
              <w:left w:type="dxa" w:w="120"/>
              <w:bottom w:type="dxa" w:w="80"/>
              <w:right w:type="dxa" w:w="120"/>
            </w:tcMar>
          </w:tcPr>
          <w:p>
            <w:r>
              <w:rPr>
                <w:rFonts w:ascii="Calibri" w:cs="Calibri" w:eastAsia="Calibri" w:hAnsi="Calibri"/>
                <w:b/>
                <w:bCs/>
                <w:color w:val="0E1B2E"/>
                <w:sz w:val="20"/>
                <w:szCs w:val="20"/>
              </w:rPr>
              <w:t xml:space="preserve">Document owner</w:t>
            </w:r>
          </w:p>
        </w:tc>
        <w:tc>
          <w:tcPr>
            <w:tcW w:type="pct" w:w="68%"/>
            <w:tcMar>
              <w:top w:type="dxa" w:w="80"/>
              <w:left w:type="dxa" w:w="120"/>
              <w:bottom w:type="dxa" w:w="80"/>
              <w:right w:type="dxa" w:w="120"/>
            </w:tcMar>
          </w:tcPr>
          <w:p>
            <w:r>
              <w:rPr>
                <w:rFonts w:ascii="Calibri" w:cs="Calibri" w:eastAsia="Calibri" w:hAnsi="Calibri"/>
                <w:i/>
                <w:iCs/>
                <w:color w:val="A8812B"/>
                <w:sz w:val="21"/>
                <w:szCs w:val="21"/>
              </w:rPr>
              <w:t xml:space="preserve">[Role responsible, e.g. Board Secretary]</w:t>
            </w:r>
          </w:p>
        </w:tc>
      </w:tr>
      <w:tr>
        <w:tc>
          <w:tcPr>
            <w:tcW w:type="pct" w:w="32%"/>
            <w:shd w:fill="FAF7F0" w:val="clear"/>
            <w:tcMar>
              <w:top w:type="dxa" w:w="80"/>
              <w:left w:type="dxa" w:w="120"/>
              <w:bottom w:type="dxa" w:w="80"/>
              <w:right w:type="dxa" w:w="120"/>
            </w:tcMar>
          </w:tcPr>
          <w:p>
            <w:r>
              <w:rPr>
                <w:rFonts w:ascii="Calibri" w:cs="Calibri" w:eastAsia="Calibri" w:hAnsi="Calibri"/>
                <w:b/>
                <w:bCs/>
                <w:color w:val="0E1B2E"/>
                <w:sz w:val="20"/>
                <w:szCs w:val="20"/>
              </w:rPr>
              <w:t xml:space="preserve">Approved by</w:t>
            </w:r>
          </w:p>
        </w:tc>
        <w:tc>
          <w:tcPr>
            <w:tcW w:type="pct" w:w="68%"/>
            <w:tcMar>
              <w:top w:type="dxa" w:w="80"/>
              <w:left w:type="dxa" w:w="120"/>
              <w:bottom w:type="dxa" w:w="80"/>
              <w:right w:type="dxa" w:w="120"/>
            </w:tcMar>
          </w:tcPr>
          <w:p>
            <w:r>
              <w:rPr>
                <w:rFonts w:ascii="Calibri" w:cs="Calibri" w:eastAsia="Calibri" w:hAnsi="Calibri"/>
                <w:i/>
                <w:iCs/>
                <w:color w:val="A8812B"/>
                <w:sz w:val="21"/>
                <w:szCs w:val="21"/>
              </w:rPr>
              <w:t xml:space="preserve">[Board / resolution reference]</w:t>
            </w:r>
          </w:p>
        </w:tc>
      </w:tr>
      <w:tr>
        <w:tc>
          <w:tcPr>
            <w:tcW w:type="pct" w:w="32%"/>
            <w:shd w:fill="FAF7F0" w:val="clear"/>
            <w:tcMar>
              <w:top w:type="dxa" w:w="80"/>
              <w:left w:type="dxa" w:w="120"/>
              <w:bottom w:type="dxa" w:w="80"/>
              <w:right w:type="dxa" w:w="120"/>
            </w:tcMar>
          </w:tcPr>
          <w:p>
            <w:r>
              <w:rPr>
                <w:rFonts w:ascii="Calibri" w:cs="Calibri" w:eastAsia="Calibri" w:hAnsi="Calibri"/>
                <w:b/>
                <w:bCs/>
                <w:color w:val="0E1B2E"/>
                <w:sz w:val="20"/>
                <w:szCs w:val="20"/>
              </w:rPr>
              <w:t xml:space="preserve">Date approved</w:t>
            </w:r>
          </w:p>
        </w:tc>
        <w:tc>
          <w:tcPr>
            <w:tcW w:type="pct" w:w="68%"/>
            <w:tcMar>
              <w:top w:type="dxa" w:w="80"/>
              <w:left w:type="dxa" w:w="120"/>
              <w:bottom w:type="dxa" w:w="80"/>
              <w:right w:type="dxa" w:w="120"/>
            </w:tcMar>
          </w:tcPr>
          <w:p>
            <w:r>
              <w:rPr>
                <w:rFonts w:ascii="Calibri" w:cs="Calibri" w:eastAsia="Calibri" w:hAnsi="Calibri"/>
                <w:i/>
                <w:iCs/>
                <w:color w:val="A8812B"/>
                <w:sz w:val="21"/>
                <w:szCs w:val="21"/>
              </w:rPr>
              <w:t xml:space="preserve">[DD Month YYYY]</w:t>
            </w:r>
          </w:p>
        </w:tc>
      </w:tr>
      <w:tr>
        <w:tc>
          <w:tcPr>
            <w:tcW w:type="pct" w:w="32%"/>
            <w:shd w:fill="FAF7F0" w:val="clear"/>
            <w:tcMar>
              <w:top w:type="dxa" w:w="80"/>
              <w:left w:type="dxa" w:w="120"/>
              <w:bottom w:type="dxa" w:w="80"/>
              <w:right w:type="dxa" w:w="120"/>
            </w:tcMar>
          </w:tcPr>
          <w:p>
            <w:r>
              <w:rPr>
                <w:rFonts w:ascii="Calibri" w:cs="Calibri" w:eastAsia="Calibri" w:hAnsi="Calibri"/>
                <w:b/>
                <w:bCs/>
                <w:color w:val="0E1B2E"/>
                <w:sz w:val="20"/>
                <w:szCs w:val="20"/>
              </w:rPr>
              <w:t xml:space="preserve">Next review</w:t>
            </w:r>
          </w:p>
        </w:tc>
        <w:tc>
          <w:tcPr>
            <w:tcW w:type="pct" w:w="68%"/>
            <w:tcMar>
              <w:top w:type="dxa" w:w="80"/>
              <w:left w:type="dxa" w:w="120"/>
              <w:bottom w:type="dxa" w:w="80"/>
              <w:right w:type="dxa" w:w="120"/>
            </w:tcMar>
          </w:tcPr>
          <w:p>
            <w:r>
              <w:rPr>
                <w:rFonts w:ascii="Calibri" w:cs="Calibri" w:eastAsia="Calibri" w:hAnsi="Calibri"/>
                <w:i/>
                <w:iCs/>
                <w:color w:val="A8812B"/>
                <w:sz w:val="21"/>
                <w:szCs w:val="21"/>
              </w:rPr>
              <w:t xml:space="preserve">[DD Month YYYY — typically every 1–2 years]</w:t>
            </w:r>
          </w:p>
        </w:tc>
      </w:tr>
    </w:tbl>
    <w:p>
      <w:pPr>
        <w:spacing w:after="80" w:before="260"/>
      </w:pPr>
      <w:r>
        <w:rPr>
          <w:rFonts w:ascii="Calibri" w:cs="Calibri" w:eastAsia="Calibri" w:hAnsi="Calibri"/>
          <w:b/>
          <w:bCs/>
          <w:color w:val="A8812B"/>
          <w:spacing w:val="30"/>
          <w:sz w:val="17"/>
          <w:szCs w:val="17"/>
        </w:rPr>
        <w:t xml:space="preserve">1 · PURPOSE</w:t>
      </w:r>
    </w:p>
    <w:p>
      <w:pPr>
        <w:spacing w:after="120" w:line="276"/>
      </w:pPr>
      <w:r>
        <w:rPr>
          <w:rFonts w:ascii="Calibri" w:cs="Calibri" w:eastAsia="Calibri" w:hAnsi="Calibri"/>
          <w:color w:val="222B36"/>
          <w:sz w:val="21"/>
          <w:szCs w:val="21"/>
        </w:rPr>
        <w:t xml:space="preserve">The Board of </w:t>
      </w:r>
      <w:r>
        <w:rPr>
          <w:rFonts w:ascii="Calibri" w:cs="Calibri" w:eastAsia="Calibri" w:hAnsi="Calibri"/>
          <w:i/>
          <w:iCs/>
          <w:color w:val="A8812B"/>
          <w:sz w:val="21"/>
          <w:szCs w:val="21"/>
        </w:rPr>
        <w:t xml:space="preserve">[Organisation]</w:t>
      </w:r>
      <w:r>
        <w:rPr>
          <w:rFonts w:ascii="Calibri" w:cs="Calibri" w:eastAsia="Calibri" w:hAnsi="Calibri"/>
          <w:color w:val="222B36"/>
          <w:sz w:val="21"/>
          <w:szCs w:val="21"/>
        </w:rPr>
        <w:t xml:space="preserve"> holds ultimate responsibility for the organisation’s mission, strategy, financial health, legal compliance and overall governance. These Terms of Reference set out how the Board is constituted and how it works, so that authority and accountability are clear to members, staff, donors and partners.</w:t>
      </w:r>
    </w:p>
    <w:p>
      <w:pPr>
        <w:spacing w:after="80" w:before="260"/>
      </w:pPr>
      <w:r>
        <w:rPr>
          <w:rFonts w:ascii="Calibri" w:cs="Calibri" w:eastAsia="Calibri" w:hAnsi="Calibri"/>
          <w:b/>
          <w:bCs/>
          <w:color w:val="A8812B"/>
          <w:spacing w:val="30"/>
          <w:sz w:val="17"/>
          <w:szCs w:val="17"/>
        </w:rPr>
        <w:t xml:space="preserve">2 · AUTHORITY</w:t>
      </w:r>
    </w:p>
    <w:p>
      <w:pPr>
        <w:spacing w:after="120" w:line="276"/>
      </w:pPr>
      <w:r>
        <w:rPr>
          <w:rFonts w:ascii="Calibri" w:cs="Calibri" w:eastAsia="Calibri" w:hAnsi="Calibri"/>
          <w:color w:val="222B36"/>
          <w:sz w:val="21"/>
          <w:szCs w:val="21"/>
        </w:rPr>
        <w:t xml:space="preserve">The Board derives its authority from the organisation’s statutes / constitution and applicable law. It may delegate specific powers to committees, the Executive Director or staff, but remains accountable for decisions taken under any delegation. The Board’s reserved powers include:</w:t>
      </w:r>
    </w:p>
    <w:p>
      <w:pPr>
        <w:pStyle w:val="ListParagraph"/>
        <w:numPr>
          <w:ilvl w:val="0"/>
          <w:numId w:val="2"/>
        </w:numPr>
        <w:spacing w:after="70" w:line="270"/>
      </w:pPr>
      <w:r>
        <w:rPr>
          <w:rFonts w:ascii="Calibri" w:cs="Calibri" w:eastAsia="Calibri" w:hAnsi="Calibri"/>
          <w:color w:val="222B36"/>
          <w:sz w:val="21"/>
          <w:szCs w:val="21"/>
        </w:rPr>
        <w:t xml:space="preserve">Approving strategy, annual plans and the budget;</w:t>
      </w:r>
    </w:p>
    <w:p>
      <w:pPr>
        <w:pStyle w:val="ListParagraph"/>
        <w:numPr>
          <w:ilvl w:val="0"/>
          <w:numId w:val="2"/>
        </w:numPr>
        <w:spacing w:after="70" w:line="270"/>
      </w:pPr>
      <w:r>
        <w:rPr>
          <w:rFonts w:ascii="Calibri" w:cs="Calibri" w:eastAsia="Calibri" w:hAnsi="Calibri"/>
          <w:color w:val="222B36"/>
          <w:sz w:val="21"/>
          <w:szCs w:val="21"/>
        </w:rPr>
        <w:t xml:space="preserve">Appointing, supervising and, if necessary, removing the Executive Director;</w:t>
      </w:r>
    </w:p>
    <w:p>
      <w:pPr>
        <w:pStyle w:val="ListParagraph"/>
        <w:numPr>
          <w:ilvl w:val="0"/>
          <w:numId w:val="2"/>
        </w:numPr>
        <w:spacing w:after="70" w:line="270"/>
      </w:pPr>
      <w:r>
        <w:rPr>
          <w:rFonts w:ascii="Calibri" w:cs="Calibri" w:eastAsia="Calibri" w:hAnsi="Calibri"/>
          <w:color w:val="222B36"/>
          <w:sz w:val="21"/>
          <w:szCs w:val="21"/>
        </w:rPr>
        <w:t xml:space="preserve">Approving annual accounts and overseeing financial controls and risk;</w:t>
      </w:r>
    </w:p>
    <w:p>
      <w:pPr>
        <w:pStyle w:val="ListParagraph"/>
        <w:numPr>
          <w:ilvl w:val="0"/>
          <w:numId w:val="2"/>
        </w:numPr>
        <w:spacing w:after="70" w:line="270"/>
      </w:pPr>
      <w:r>
        <w:rPr>
          <w:rFonts w:ascii="Calibri" w:cs="Calibri" w:eastAsia="Calibri" w:hAnsi="Calibri"/>
          <w:color w:val="222B36"/>
          <w:sz w:val="21"/>
          <w:szCs w:val="21"/>
        </w:rPr>
        <w:t xml:space="preserve">Approving core policies (safeguarding, conflict of interest, finance, HR);</w:t>
      </w:r>
    </w:p>
    <w:p>
      <w:pPr>
        <w:pStyle w:val="ListParagraph"/>
        <w:numPr>
          <w:ilvl w:val="0"/>
          <w:numId w:val="2"/>
        </w:numPr>
        <w:spacing w:after="70" w:line="270"/>
      </w:pPr>
      <w:r>
        <w:rPr>
          <w:rFonts w:ascii="Calibri" w:cs="Calibri" w:eastAsia="Calibri" w:hAnsi="Calibri"/>
          <w:color w:val="222B36"/>
          <w:sz w:val="21"/>
          <w:szCs w:val="21"/>
        </w:rPr>
        <w:t xml:space="preserve">Decisions on assets, borrowing, mergers or dissolution, as set in the statutes.</w:t>
      </w:r>
    </w:p>
    <w:p>
      <w:pPr>
        <w:spacing w:after="80" w:before="260"/>
      </w:pPr>
      <w:r>
        <w:rPr>
          <w:rFonts w:ascii="Calibri" w:cs="Calibri" w:eastAsia="Calibri" w:hAnsi="Calibri"/>
          <w:b/>
          <w:bCs/>
          <w:color w:val="A8812B"/>
          <w:spacing w:val="30"/>
          <w:sz w:val="17"/>
          <w:szCs w:val="17"/>
        </w:rPr>
        <w:t xml:space="preserve">3 · COMPOSITION</w:t>
      </w:r>
    </w:p>
    <w:p>
      <w:pPr>
        <w:spacing w:after="120" w:line="276"/>
      </w:pPr>
      <w:r>
        <w:rPr>
          <w:rFonts w:ascii="Calibri" w:cs="Calibri" w:eastAsia="Calibri" w:hAnsi="Calibri"/>
          <w:color w:val="222B36"/>
          <w:sz w:val="21"/>
          <w:szCs w:val="21"/>
        </w:rPr>
        <w:t xml:space="preserve">The Board shall comprise between </w:t>
      </w:r>
      <w:r>
        <w:rPr>
          <w:rFonts w:ascii="Calibri" w:cs="Calibri" w:eastAsia="Calibri" w:hAnsi="Calibri"/>
          <w:i/>
          <w:iCs/>
          <w:color w:val="A8812B"/>
          <w:sz w:val="21"/>
          <w:szCs w:val="21"/>
        </w:rPr>
        <w:t xml:space="preserve">[min]</w:t>
      </w:r>
      <w:r>
        <w:rPr>
          <w:rFonts w:ascii="Calibri" w:cs="Calibri" w:eastAsia="Calibri" w:hAnsi="Calibri"/>
          <w:color w:val="222B36"/>
          <w:sz w:val="21"/>
          <w:szCs w:val="21"/>
        </w:rPr>
        <w:t xml:space="preserve"> and </w:t>
      </w:r>
      <w:r>
        <w:rPr>
          <w:rFonts w:ascii="Calibri" w:cs="Calibri" w:eastAsia="Calibri" w:hAnsi="Calibri"/>
          <w:i/>
          <w:iCs/>
          <w:color w:val="A8812B"/>
          <w:sz w:val="21"/>
          <w:szCs w:val="21"/>
        </w:rPr>
        <w:t xml:space="preserve">[max]</w:t>
      </w:r>
      <w:r>
        <w:rPr>
          <w:rFonts w:ascii="Calibri" w:cs="Calibri" w:eastAsia="Calibri" w:hAnsi="Calibri"/>
          <w:color w:val="222B36"/>
          <w:sz w:val="21"/>
          <w:szCs w:val="21"/>
        </w:rPr>
        <w:t xml:space="preserve"> members, balancing the skills, experience and diversity the organisation needs. Members are appointed for a term of </w:t>
      </w:r>
      <w:r>
        <w:rPr>
          <w:rFonts w:ascii="Calibri" w:cs="Calibri" w:eastAsia="Calibri" w:hAnsi="Calibri"/>
          <w:i/>
          <w:iCs/>
          <w:color w:val="A8812B"/>
          <w:sz w:val="21"/>
          <w:szCs w:val="21"/>
        </w:rPr>
        <w:t xml:space="preserve">[e.g. three years]</w:t>
      </w:r>
      <w:r>
        <w:rPr>
          <w:rFonts w:ascii="Calibri" w:cs="Calibri" w:eastAsia="Calibri" w:hAnsi="Calibri"/>
          <w:color w:val="222B36"/>
          <w:sz w:val="21"/>
          <w:szCs w:val="21"/>
        </w:rPr>
        <w:t xml:space="preserve">, renewable </w:t>
      </w:r>
      <w:r>
        <w:rPr>
          <w:rFonts w:ascii="Calibri" w:cs="Calibri" w:eastAsia="Calibri" w:hAnsi="Calibri"/>
          <w:i/>
          <w:iCs/>
          <w:color w:val="A8812B"/>
          <w:sz w:val="21"/>
          <w:szCs w:val="21"/>
        </w:rPr>
        <w:t xml:space="preserve">[e.g. once]</w:t>
      </w:r>
      <w:r>
        <w:rPr>
          <w:rFonts w:ascii="Calibri" w:cs="Calibri" w:eastAsia="Calibri" w:hAnsi="Calibri"/>
          <w:color w:val="222B36"/>
          <w:sz w:val="21"/>
          <w:szCs w:val="21"/>
        </w:rPr>
        <w:t xml:space="preserve">. Office-bearers are the Chair, </w:t>
      </w:r>
      <w:r>
        <w:rPr>
          <w:rFonts w:ascii="Calibri" w:cs="Calibri" w:eastAsia="Calibri" w:hAnsi="Calibri"/>
          <w:i/>
          <w:iCs/>
          <w:color w:val="A8812B"/>
          <w:sz w:val="21"/>
          <w:szCs w:val="21"/>
        </w:rPr>
        <w:t xml:space="preserve">[Vice-Chair]</w:t>
      </w:r>
      <w:r>
        <w:rPr>
          <w:rFonts w:ascii="Calibri" w:cs="Calibri" w:eastAsia="Calibri" w:hAnsi="Calibri"/>
          <w:color w:val="222B36"/>
          <w:sz w:val="21"/>
          <w:szCs w:val="21"/>
        </w:rPr>
        <w:t xml:space="preserve">, Treasurer and Secretary.</w:t>
      </w:r>
    </w:p>
    <w:p>
      <w:pPr>
        <w:spacing w:after="80" w:before="260"/>
      </w:pPr>
      <w:r>
        <w:rPr>
          <w:rFonts w:ascii="Calibri" w:cs="Calibri" w:eastAsia="Calibri" w:hAnsi="Calibri"/>
          <w:b/>
          <w:bCs/>
          <w:color w:val="A8812B"/>
          <w:spacing w:val="30"/>
          <w:sz w:val="17"/>
          <w:szCs w:val="17"/>
        </w:rPr>
        <w:t xml:space="preserve">4 · ROLES OF OFFICE-BEARERS</w:t>
      </w:r>
    </w:p>
    <w:p>
      <w:pPr>
        <w:pStyle w:val="ListParagraph"/>
        <w:numPr>
          <w:ilvl w:val="0"/>
          <w:numId w:val="2"/>
        </w:numPr>
        <w:spacing w:after="70" w:line="270"/>
      </w:pPr>
      <w:r>
        <w:rPr>
          <w:rFonts w:ascii="Calibri" w:cs="Calibri" w:eastAsia="Calibri" w:hAnsi="Calibri"/>
          <w:b/>
          <w:bCs/>
          <w:color w:val="0E1B2E"/>
          <w:sz w:val="21"/>
          <w:szCs w:val="21"/>
        </w:rPr>
        <w:t xml:space="preserve">Chair — </w:t>
      </w:r>
      <w:r>
        <w:rPr>
          <w:rFonts w:ascii="Calibri" w:cs="Calibri" w:eastAsia="Calibri" w:hAnsi="Calibri"/>
          <w:color w:val="222B36"/>
          <w:sz w:val="21"/>
          <w:szCs w:val="21"/>
        </w:rPr>
        <w:t xml:space="preserve">leads the Board, sets agendas with the Secretary, ensures decisions are made and acts as the main link to the Executive Director.</w:t>
      </w:r>
    </w:p>
    <w:p>
      <w:pPr>
        <w:pStyle w:val="ListParagraph"/>
        <w:numPr>
          <w:ilvl w:val="0"/>
          <w:numId w:val="2"/>
        </w:numPr>
        <w:spacing w:after="70" w:line="270"/>
      </w:pPr>
      <w:r>
        <w:rPr>
          <w:rFonts w:ascii="Calibri" w:cs="Calibri" w:eastAsia="Calibri" w:hAnsi="Calibri"/>
          <w:b/>
          <w:bCs/>
          <w:color w:val="0E1B2E"/>
          <w:sz w:val="21"/>
          <w:szCs w:val="21"/>
        </w:rPr>
        <w:t xml:space="preserve">Treasurer — </w:t>
      </w:r>
      <w:r>
        <w:rPr>
          <w:rFonts w:ascii="Calibri" w:cs="Calibri" w:eastAsia="Calibri" w:hAnsi="Calibri"/>
          <w:color w:val="222B36"/>
          <w:sz w:val="21"/>
          <w:szCs w:val="21"/>
        </w:rPr>
        <w:t xml:space="preserve">oversees financial integrity, the budget and the audit relationship, and reports on finances to the Board.</w:t>
      </w:r>
    </w:p>
    <w:p>
      <w:pPr>
        <w:pStyle w:val="ListParagraph"/>
        <w:numPr>
          <w:ilvl w:val="0"/>
          <w:numId w:val="2"/>
        </w:numPr>
        <w:spacing w:after="70" w:line="270"/>
      </w:pPr>
      <w:r>
        <w:rPr>
          <w:rFonts w:ascii="Calibri" w:cs="Calibri" w:eastAsia="Calibri" w:hAnsi="Calibri"/>
          <w:b/>
          <w:bCs/>
          <w:color w:val="0E1B2E"/>
          <w:sz w:val="21"/>
          <w:szCs w:val="21"/>
        </w:rPr>
        <w:t xml:space="preserve">Secretary — </w:t>
      </w:r>
      <w:r>
        <w:rPr>
          <w:rFonts w:ascii="Calibri" w:cs="Calibri" w:eastAsia="Calibri" w:hAnsi="Calibri"/>
          <w:color w:val="222B36"/>
          <w:sz w:val="21"/>
          <w:szCs w:val="21"/>
        </w:rPr>
        <w:t xml:space="preserve">convenes meetings, keeps accurate minutes and the register of decisions, and maintains governance records.</w:t>
      </w:r>
    </w:p>
    <w:p>
      <w:pPr>
        <w:spacing w:after="80" w:before="260"/>
      </w:pPr>
      <w:r>
        <w:rPr>
          <w:rFonts w:ascii="Calibri" w:cs="Calibri" w:eastAsia="Calibri" w:hAnsi="Calibri"/>
          <w:b/>
          <w:bCs/>
          <w:color w:val="A8812B"/>
          <w:spacing w:val="30"/>
          <w:sz w:val="17"/>
          <w:szCs w:val="17"/>
        </w:rPr>
        <w:t xml:space="preserve">5 · MEETINGS, QUORUM &amp; DECISIONS</w:t>
      </w:r>
    </w:p>
    <w:p>
      <w:pPr>
        <w:spacing w:after="120" w:line="276"/>
      </w:pPr>
      <w:r>
        <w:rPr>
          <w:rFonts w:ascii="Calibri" w:cs="Calibri" w:eastAsia="Calibri" w:hAnsi="Calibri"/>
          <w:color w:val="222B36"/>
          <w:sz w:val="21"/>
          <w:szCs w:val="21"/>
        </w:rPr>
        <w:t xml:space="preserve">The Board meets at least </w:t>
      </w:r>
      <w:r>
        <w:rPr>
          <w:rFonts w:ascii="Calibri" w:cs="Calibri" w:eastAsia="Calibri" w:hAnsi="Calibri"/>
          <w:i/>
          <w:iCs/>
          <w:color w:val="A8812B"/>
          <w:sz w:val="21"/>
          <w:szCs w:val="21"/>
        </w:rPr>
        <w:t xml:space="preserve">[e.g. four]</w:t>
      </w:r>
      <w:r>
        <w:rPr>
          <w:rFonts w:ascii="Calibri" w:cs="Calibri" w:eastAsia="Calibri" w:hAnsi="Calibri"/>
          <w:color w:val="222B36"/>
          <w:sz w:val="21"/>
          <w:szCs w:val="21"/>
        </w:rPr>
        <w:t xml:space="preserve"> times a year, plus an Annual General Meeting. Quorum is </w:t>
      </w:r>
      <w:r>
        <w:rPr>
          <w:rFonts w:ascii="Calibri" w:cs="Calibri" w:eastAsia="Calibri" w:hAnsi="Calibri"/>
          <w:i/>
          <w:iCs/>
          <w:color w:val="A8812B"/>
          <w:sz w:val="21"/>
          <w:szCs w:val="21"/>
        </w:rPr>
        <w:t xml:space="preserve">[e.g. half of members plus one]</w:t>
      </w:r>
      <w:r>
        <w:rPr>
          <w:rFonts w:ascii="Calibri" w:cs="Calibri" w:eastAsia="Calibri" w:hAnsi="Calibri"/>
          <w:color w:val="222B36"/>
          <w:sz w:val="21"/>
          <w:szCs w:val="21"/>
        </w:rPr>
        <w:t xml:space="preserve">. Decisions are taken by simple majority of those present and voting; the Chair holds a casting vote in the event of a tie. Decisions may be taken between meetings by written resolution where the statutes allow.</w:t>
      </w:r>
    </w:p>
    <w:p>
      <w:pPr>
        <w:spacing w:after="80" w:before="260"/>
      </w:pPr>
      <w:r>
        <w:rPr>
          <w:rFonts w:ascii="Calibri" w:cs="Calibri" w:eastAsia="Calibri" w:hAnsi="Calibri"/>
          <w:b/>
          <w:bCs/>
          <w:color w:val="A8812B"/>
          <w:spacing w:val="30"/>
          <w:sz w:val="17"/>
          <w:szCs w:val="17"/>
        </w:rPr>
        <w:t xml:space="preserve">6 · CONFLICT OF INTEREST</w:t>
      </w:r>
    </w:p>
    <w:p>
      <w:pPr>
        <w:spacing w:after="120" w:line="276"/>
      </w:pPr>
      <w:r>
        <w:rPr>
          <w:rFonts w:ascii="Calibri" w:cs="Calibri" w:eastAsia="Calibri" w:hAnsi="Calibri"/>
          <w:color w:val="222B36"/>
          <w:sz w:val="21"/>
          <w:szCs w:val="21"/>
        </w:rPr>
        <w:t xml:space="preserve">Members must declare any actual, potential or perceived conflict of interest at the earliest opportunity and before the relevant discussion. A conflicted member shall not vote on, and may be asked to withdraw from, the affected item. All declarations are recorded in the minutes and a register of interests.</w:t>
      </w:r>
    </w:p>
    <w:p>
      <w:pPr>
        <w:spacing w:after="80" w:before="260"/>
      </w:pPr>
      <w:r>
        <w:rPr>
          <w:rFonts w:ascii="Calibri" w:cs="Calibri" w:eastAsia="Calibri" w:hAnsi="Calibri"/>
          <w:b/>
          <w:bCs/>
          <w:color w:val="A8812B"/>
          <w:spacing w:val="30"/>
          <w:sz w:val="17"/>
          <w:szCs w:val="17"/>
        </w:rPr>
        <w:t xml:space="preserve">7 · COMMITTEES</w:t>
      </w:r>
    </w:p>
    <w:p>
      <w:pPr>
        <w:spacing w:after="120" w:line="276"/>
      </w:pPr>
      <w:r>
        <w:rPr>
          <w:rFonts w:ascii="Calibri" w:cs="Calibri" w:eastAsia="Calibri" w:hAnsi="Calibri"/>
          <w:color w:val="222B36"/>
          <w:sz w:val="21"/>
          <w:szCs w:val="21"/>
        </w:rPr>
        <w:t xml:space="preserve">The Board may establish standing or ad-hoc committees (for example Finance &amp; Audit, or Safeguarding) with their own terms of reference. Committees advise and act within delegated limits and report to the Board. Current committees: </w:t>
      </w:r>
      <w:r>
        <w:rPr>
          <w:rFonts w:ascii="Calibri" w:cs="Calibri" w:eastAsia="Calibri" w:hAnsi="Calibri"/>
          <w:i/>
          <w:iCs/>
          <w:color w:val="A8812B"/>
          <w:sz w:val="21"/>
          <w:szCs w:val="21"/>
        </w:rPr>
        <w:t xml:space="preserve">[list, or “none at present”]</w:t>
      </w:r>
      <w:r>
        <w:rPr>
          <w:rFonts w:ascii="Calibri" w:cs="Calibri" w:eastAsia="Calibri" w:hAnsi="Calibri"/>
          <w:color w:val="222B36"/>
          <w:sz w:val="21"/>
          <w:szCs w:val="21"/>
        </w:rPr>
        <w:t xml:space="preserve">.</w:t>
      </w:r>
    </w:p>
    <w:p>
      <w:pPr>
        <w:spacing w:after="80" w:before="260"/>
      </w:pPr>
      <w:r>
        <w:rPr>
          <w:rFonts w:ascii="Calibri" w:cs="Calibri" w:eastAsia="Calibri" w:hAnsi="Calibri"/>
          <w:b/>
          <w:bCs/>
          <w:color w:val="A8812B"/>
          <w:spacing w:val="30"/>
          <w:sz w:val="17"/>
          <w:szCs w:val="17"/>
        </w:rPr>
        <w:t xml:space="preserve">8 · CONDUCT &amp; ATTENDANCE</w:t>
      </w:r>
    </w:p>
    <w:p>
      <w:pPr>
        <w:pStyle w:val="ListParagraph"/>
        <w:numPr>
          <w:ilvl w:val="0"/>
          <w:numId w:val="2"/>
        </w:numPr>
        <w:spacing w:after="70" w:line="270"/>
      </w:pPr>
      <w:r>
        <w:rPr>
          <w:rFonts w:ascii="Calibri" w:cs="Calibri" w:eastAsia="Calibri" w:hAnsi="Calibri"/>
          <w:color w:val="222B36"/>
          <w:sz w:val="21"/>
          <w:szCs w:val="21"/>
        </w:rPr>
        <w:t xml:space="preserve">Members act in the organisation’s best interest, not personal or sectional interest;</w:t>
      </w:r>
    </w:p>
    <w:p>
      <w:pPr>
        <w:pStyle w:val="ListParagraph"/>
        <w:numPr>
          <w:ilvl w:val="0"/>
          <w:numId w:val="2"/>
        </w:numPr>
        <w:spacing w:after="70" w:line="270"/>
      </w:pPr>
      <w:r>
        <w:rPr>
          <w:rFonts w:ascii="Calibri" w:cs="Calibri" w:eastAsia="Calibri" w:hAnsi="Calibri"/>
          <w:color w:val="222B36"/>
          <w:sz w:val="21"/>
          <w:szCs w:val="21"/>
        </w:rPr>
        <w:t xml:space="preserve">Members prepare for and attend meetings; persistent non-attendance may end membership;</w:t>
      </w:r>
    </w:p>
    <w:p>
      <w:pPr>
        <w:pStyle w:val="ListParagraph"/>
        <w:numPr>
          <w:ilvl w:val="0"/>
          <w:numId w:val="2"/>
        </w:numPr>
        <w:spacing w:after="70" w:line="270"/>
      </w:pPr>
      <w:r>
        <w:rPr>
          <w:rFonts w:ascii="Calibri" w:cs="Calibri" w:eastAsia="Calibri" w:hAnsi="Calibri"/>
          <w:color w:val="222B36"/>
          <w:sz w:val="21"/>
          <w:szCs w:val="21"/>
        </w:rPr>
        <w:t xml:space="preserve">Members maintain confidentiality and uphold the organisation’s Code of Conduct and safeguarding policies.</w:t>
      </w:r>
    </w:p>
    <w:p>
      <w:pPr>
        <w:spacing w:after="80" w:before="260"/>
      </w:pPr>
      <w:r>
        <w:rPr>
          <w:rFonts w:ascii="Calibri" w:cs="Calibri" w:eastAsia="Calibri" w:hAnsi="Calibri"/>
          <w:b/>
          <w:bCs/>
          <w:color w:val="A8812B"/>
          <w:spacing w:val="30"/>
          <w:sz w:val="17"/>
          <w:szCs w:val="17"/>
        </w:rPr>
        <w:t xml:space="preserve">9 · REVIEW</w:t>
      </w:r>
    </w:p>
    <w:p>
      <w:pPr>
        <w:spacing w:after="120" w:line="276"/>
      </w:pPr>
      <w:r>
        <w:rPr>
          <w:rFonts w:ascii="Calibri" w:cs="Calibri" w:eastAsia="Calibri" w:hAnsi="Calibri"/>
          <w:color w:val="222B36"/>
          <w:sz w:val="21"/>
          <w:szCs w:val="21"/>
        </w:rPr>
        <w:t xml:space="preserve">These Terms of Reference are reviewed at least every </w:t>
      </w:r>
      <w:r>
        <w:rPr>
          <w:rFonts w:ascii="Calibri" w:cs="Calibri" w:eastAsia="Calibri" w:hAnsi="Calibri"/>
          <w:i/>
          <w:iCs/>
          <w:color w:val="A8812B"/>
          <w:sz w:val="21"/>
          <w:szCs w:val="21"/>
        </w:rPr>
        <w:t xml:space="preserve">[one to two years]</w:t>
      </w:r>
      <w:r>
        <w:rPr>
          <w:rFonts w:ascii="Calibri" w:cs="Calibri" w:eastAsia="Calibri" w:hAnsi="Calibri"/>
          <w:color w:val="222B36"/>
          <w:sz w:val="21"/>
          <w:szCs w:val="21"/>
        </w:rPr>
        <w:t xml:space="preserve"> and updated as the organisation and its legal context evolve. Changes are approved by the Board and recorded.</w:t>
      </w:r>
    </w:p>
    <w:p>
      <w:pPr>
        <w:pBdr>
          <w:top w:val="single" w:color="E4E2DA" w:sz="4"/>
        </w:pBdr>
        <w:spacing w:before="320"/>
      </w:pPr>
      <w:r>
        <w:rPr>
          <w:rFonts w:ascii="Calibri" w:cs="Calibri" w:eastAsia="Calibri" w:hAnsi="Calibri"/>
          <w:i/>
          <w:iCs/>
          <w:color w:val="4A5666"/>
          <w:sz w:val="17"/>
          <w:szCs w:val="17"/>
        </w:rPr>
        <w:t xml:space="preserve">Adapted from a free template by The Change Architect (thechangearchitect.org). This template is general guidance, not legal advice — check it against your statutes and local law before adopting.</w:t>
      </w:r>
    </w:p>
    <w:sectPr>
      <w:headerReference w:type="default" r:id="rId7"/>
      <w:footerReference w:type="default" r:id="rId8"/>
      <w:pgSz w:w="11906" w:h="16838" w:orient="portrait"/>
      <w:pgMar w:top="1100" w:right="1200" w:bottom="11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4E2DA" w:sz="4"/>
      </w:pBdr>
      <w:spacing w:before="60"/>
    </w:pPr>
    <w:r>
      <w:rPr>
        <w:rFonts w:ascii="Calibri" w:cs="Calibri" w:eastAsia="Calibri" w:hAnsi="Calibri"/>
        <w:color w:val="4A5666"/>
        <w:sz w:val="16"/>
        <w:szCs w:val="16"/>
      </w:rPr>
      <w:t xml:space="preserve">thechangearchitect.org — adapt freely to your organisation.   Page </w:t>
    </w:r>
    <w:r>
      <w:rPr>
        <w:rFonts w:ascii="Calibri" w:cs="Calibri" w:eastAsia="Calibri" w:hAnsi="Calibri"/>
        <w:color w:val="4A5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A8812B" w:sz="6"/>
      </w:pBdr>
      <w:spacing w:after="60"/>
    </w:pPr>
    <w:r>
      <w:rPr>
        <w:rFonts w:ascii="Calibri" w:cs="Calibri" w:eastAsia="Calibri" w:hAnsi="Calibri"/>
        <w:b/>
        <w:bCs/>
        <w:color w:val="0E1B2E"/>
        <w:spacing w:val="24"/>
        <w:sz w:val="18"/>
        <w:szCs w:val="18"/>
      </w:rPr>
      <w:t xml:space="preserve">THE CHANGE ARCHITECT</w:t>
    </w:r>
    <w:r>
      <w:rPr>
        <w:rFonts w:ascii="Calibri" w:cs="Calibri" w:eastAsia="Calibri" w:hAnsi="Calibri"/>
        <w:color w:val="4A5666"/>
        <w:sz w:val="16"/>
        <w:szCs w:val="16"/>
      </w:rPr>
      <w:t xml:space="preserve">   ·   Free governance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Terms of Reference — Template</dc:title>
  <dc:creator>The Change Architect</dc:creator>
  <cp:lastModifiedBy>Un-named</cp:lastModifiedBy>
  <cp:revision>1</cp:revision>
  <dcterms:created xsi:type="dcterms:W3CDTF">2026-06-15T09:51:53.421Z</dcterms:created>
  <dcterms:modified xsi:type="dcterms:W3CDTF">2026-06-15T09:51:53.422Z</dcterms:modified>
</cp:coreProperties>
</file>

<file path=docProps/custom.xml><?xml version="1.0" encoding="utf-8"?>
<Properties xmlns="http://schemas.openxmlformats.org/officeDocument/2006/custom-properties" xmlns:vt="http://schemas.openxmlformats.org/officeDocument/2006/docPropsVTypes"/>
</file>